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E95E00"/>
        </w:rPr>
      </w:pPr>
      <w:r w:rsidRPr="009F47FF">
        <w:rPr>
          <w:rFonts w:ascii="Arial,Bold" w:hAnsi="Arial,Bold" w:cs="Arial,Bold"/>
          <w:b/>
          <w:bCs/>
          <w:color w:val="E95E00"/>
        </w:rPr>
        <w:t>Децата със специални потребности срещат различно отношение в училище. И това положение се запазва независимо от поетите ангажименти за пиробщаващо образование, алармира доклад за образователната система в цяла Европа.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Голяма част от децата са настанени в изолирани институции, а тези, които посещават масовите учебни заведения, често не получават достатъчна подкрепа, се казва в документа.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b/>
          <w:bCs/>
          <w:color w:val="000000"/>
          <w:sz w:val="22"/>
          <w:szCs w:val="22"/>
        </w:rPr>
        <w:t xml:space="preserve">В ЕС има около 45 млн. граждани в трудоспособна възраст с увреждания. 15 млн. деца имат специални образователни потребности. </w:t>
      </w:r>
      <w:r w:rsidRPr="009F47FF">
        <w:rPr>
          <w:rFonts w:ascii="Arial" w:hAnsi="Arial" w:cs="Arial"/>
          <w:color w:val="000000"/>
          <w:sz w:val="22"/>
          <w:szCs w:val="22"/>
        </w:rPr>
        <w:t>Според доклада на ЕК в някои случаи те са лишени както от възможността за получаване на образование, така и от тази за трудова заетост.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Данните от доклада показват, че у нас общият брой на учениците, обхванати от образователната система е малко над 693 хил. От тях със специални образователни потребности са 14 хил. деца или общо 2% от всички ученици.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Проучването показва, че около 1,1% от всички ученици (или над 8 хил. деца) се обучават в специализирани отделени образователни системи. По този показател България е в средата за целия ЕС. Далеч напред например е Белгия, където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F47FF">
        <w:rPr>
          <w:rFonts w:ascii="Arial" w:hAnsi="Arial" w:cs="Arial"/>
          <w:color w:val="000000"/>
          <w:sz w:val="22"/>
          <w:szCs w:val="22"/>
        </w:rPr>
        <w:t>над 5% от децата със специални нужди са в изолирани училища.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Пред нас са още страни като Германия и Великобритания. Най-нисък е процентът в Италия – едва 0,01%.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Тези данни са изнесени неслучайно. Авторите на доклада си задават въпроса и дали специалните образователни системи допълнително не увеличават изолацията на ученици, които вече са социално маргинализирани. Така те по</w:t>
      </w:r>
      <w:r w:rsidRPr="009F47FF">
        <w:rPr>
          <w:rFonts w:ascii="Arial" w:hAnsi="Arial" w:cs="Arial"/>
          <w:color w:val="000000"/>
          <w:sz w:val="22"/>
          <w:szCs w:val="22"/>
        </w:rPr>
        <w:noBreakHyphen/>
        <w:t xml:space="preserve">скоро намаляват, </w:t>
      </w:r>
      <w:r w:rsidRPr="009F47FF">
        <w:rPr>
          <w:rFonts w:ascii="Arial" w:hAnsi="Arial" w:cs="Arial"/>
          <w:b/>
          <w:bCs/>
          <w:color w:val="000000"/>
          <w:sz w:val="22"/>
          <w:szCs w:val="22"/>
        </w:rPr>
        <w:t>отколкото да подобряват своите шансове за реализация в живота.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b/>
          <w:bCs/>
          <w:color w:val="000000"/>
          <w:sz w:val="22"/>
          <w:szCs w:val="22"/>
        </w:rPr>
        <w:t>В изследването се прокарва идеята, че е напълно възможно такива деца да бъдат записвани в масовите училища, но при условие че бъде инвестирано повече в развитието на езиковите им умения и че в по-голяма степен бъдат зачитани културните различия.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Анализитите показват още, че децата със специални образователни потребности често напускат училище с почти никаква или изобщо без квалификация, понякога преди да преминат специализирано обучение, което в някои случаи по-скоро може да влоши, отколкото да увеличи шансовете им за намиране на работа.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От друга страна хората с увреждания или със специални образователни потребности вероятността да останат без работа е по</w:t>
      </w:r>
      <w:r w:rsidRPr="009F47FF">
        <w:rPr>
          <w:rFonts w:ascii="Arial" w:hAnsi="Arial" w:cs="Arial"/>
          <w:color w:val="000000"/>
          <w:sz w:val="22"/>
          <w:szCs w:val="22"/>
        </w:rPr>
        <w:noBreakHyphen/>
        <w:t>голяма, а дори и онези, които се справят сравнително успешно на трудовия пазар, често получават по</w:t>
      </w:r>
      <w:r w:rsidRPr="009F47FF">
        <w:rPr>
          <w:rFonts w:ascii="Arial" w:hAnsi="Arial" w:cs="Arial"/>
          <w:color w:val="000000"/>
          <w:sz w:val="22"/>
          <w:szCs w:val="22"/>
        </w:rPr>
        <w:noBreakHyphen/>
        <w:t>ниско възнаграждение от своите колеги без увреждания.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Във всички държави членки, в училищата за деца със специални потребности е най</w:t>
      </w:r>
      <w:r w:rsidRPr="009F47FF">
        <w:rPr>
          <w:rFonts w:ascii="Arial" w:hAnsi="Arial" w:cs="Arial"/>
          <w:color w:val="000000"/>
          <w:sz w:val="22"/>
          <w:szCs w:val="22"/>
        </w:rPr>
        <w:noBreakHyphen/>
        <w:t>многобройно присъствието на бедни деца от ромското етническо малцинство (особено момчета) и на такива в неравностойно социално-икономическо положение.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Ето и още няколко ключови констатации от доклада: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- Докато интегрирането на учащите се със сериозни увреждания в масовата учебна среда може да се окаже нелека задача или е възможно да им бъде осигурено по</w:t>
      </w:r>
      <w:r w:rsidRPr="009F47FF">
        <w:rPr>
          <w:rFonts w:ascii="Arial" w:hAnsi="Arial" w:cs="Arial"/>
          <w:color w:val="000000"/>
          <w:sz w:val="22"/>
          <w:szCs w:val="22"/>
        </w:rPr>
        <w:noBreakHyphen/>
        <w:t xml:space="preserve">добро обслужване в отделни учебни структури, има все повече доказателства, че </w:t>
      </w:r>
      <w:r w:rsidRPr="009F47FF">
        <w:rPr>
          <w:rFonts w:ascii="Arial" w:hAnsi="Arial" w:cs="Arial"/>
          <w:b/>
          <w:bCs/>
          <w:color w:val="000000"/>
          <w:sz w:val="22"/>
          <w:szCs w:val="22"/>
        </w:rPr>
        <w:t>голям брой учащи се с увреждания/специални образователни потребности могат да бъдат интегрирани в системата на масовото образование</w:t>
      </w:r>
      <w:r w:rsidRPr="009F47FF">
        <w:rPr>
          <w:rFonts w:ascii="Arial" w:hAnsi="Arial" w:cs="Arial"/>
          <w:color w:val="000000"/>
          <w:sz w:val="22"/>
          <w:szCs w:val="22"/>
        </w:rPr>
        <w:t xml:space="preserve"> и че качественото приобщаващо образование е добро образование за всички учащи се;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 xml:space="preserve">- Макар преминаването към по-приобщаващи образователни системи да е задача от особено важно значение, образованието и </w:t>
      </w:r>
      <w:r w:rsidRPr="009F47FF">
        <w:rPr>
          <w:rFonts w:ascii="Arial" w:hAnsi="Arial" w:cs="Arial"/>
          <w:b/>
          <w:bCs/>
          <w:color w:val="000000"/>
          <w:sz w:val="22"/>
          <w:szCs w:val="22"/>
        </w:rPr>
        <w:t>непрекъснатото повишаване на професионалната квалификация на учителите невинаги са били организирани в този приобщаващ контекст;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- Освен учителите, жизненоважна роля</w:t>
      </w:r>
      <w:r w:rsidRPr="009F47FF">
        <w:rPr>
          <w:rFonts w:ascii="Arial" w:hAnsi="Arial" w:cs="Arial"/>
          <w:b/>
          <w:bCs/>
          <w:color w:val="000000"/>
          <w:sz w:val="22"/>
          <w:szCs w:val="22"/>
        </w:rPr>
        <w:t xml:space="preserve"> за това политиката на приобщаване да заработи добре на практика играят преподавателският персонал,</w:t>
      </w:r>
      <w:r w:rsidRPr="009F47FF">
        <w:rPr>
          <w:rFonts w:ascii="Arial" w:hAnsi="Arial" w:cs="Arial"/>
          <w:color w:val="000000"/>
          <w:sz w:val="22"/>
          <w:szCs w:val="22"/>
        </w:rPr>
        <w:t xml:space="preserve"> подпомагащ учебния процес, и помощният училищен персонал;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- В някои европейски страни</w:t>
      </w:r>
      <w:r w:rsidRPr="009F47FF">
        <w:rPr>
          <w:rFonts w:ascii="Arial" w:hAnsi="Arial" w:cs="Arial"/>
          <w:b/>
          <w:bCs/>
          <w:color w:val="000000"/>
          <w:sz w:val="22"/>
          <w:szCs w:val="22"/>
        </w:rPr>
        <w:t xml:space="preserve"> учебните програми са стандартизирани и им липсва нужната гъвкавост, което затруднява приобщаването на децата с увреждания. </w:t>
      </w:r>
      <w:r w:rsidRPr="009F47FF">
        <w:rPr>
          <w:rFonts w:ascii="Arial" w:hAnsi="Arial" w:cs="Arial"/>
          <w:color w:val="000000"/>
          <w:sz w:val="22"/>
          <w:szCs w:val="22"/>
        </w:rPr>
        <w:lastRenderedPageBreak/>
        <w:t>Практиките на повтаряне на учебната година също подкопават принципите на приобщаване;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- При хората с увреждания е по-малка вероятността да напреднат, що се отнася до получаването на висше образование, в сравнение с хората без увреждания;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b/>
          <w:bCs/>
          <w:color w:val="000000"/>
          <w:sz w:val="22"/>
          <w:szCs w:val="22"/>
        </w:rPr>
        <w:t>- Хората с увреждания, които са получили висше образование, все още изпитват затруднения на пазара на труда, но при тях е много по-голяма вероятността да бъдат наети на работа в сравнение с хората с увреждания, притежаващи по-ниска квалификация;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 xml:space="preserve">- </w:t>
      </w:r>
      <w:r w:rsidRPr="009F47FF">
        <w:rPr>
          <w:rFonts w:ascii="Arial" w:hAnsi="Arial" w:cs="Arial"/>
          <w:b/>
          <w:bCs/>
          <w:color w:val="000000"/>
          <w:sz w:val="22"/>
          <w:szCs w:val="22"/>
        </w:rPr>
        <w:t>Не съществуват сравнителни данни в общоевропейски мащаб за броя на студентите с увреждания в системата на висшето образование,</w:t>
      </w:r>
      <w:r w:rsidRPr="009F47FF">
        <w:rPr>
          <w:rFonts w:ascii="Arial" w:hAnsi="Arial" w:cs="Arial"/>
          <w:color w:val="000000"/>
          <w:sz w:val="22"/>
          <w:szCs w:val="22"/>
        </w:rPr>
        <w:t xml:space="preserve"> нито за уврежданията и успеха на тези от тях, които са във висшето образование;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b/>
          <w:bCs/>
          <w:color w:val="000000"/>
          <w:sz w:val="22"/>
          <w:szCs w:val="22"/>
        </w:rPr>
        <w:t>- Липсват актуализирани и достоверни данни за броя на заетите лица сред хората с увреждания в различните страни от ЕС;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- Обезщетенията за неработоспособност увеличават риска от бедност и социално изключване, но има вероятност те да бъдат намалени поради наблюдаваното в момента свиване на публичните разходи в цяла Европа;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- Клаузите във връзка с „гъвкавата сигурност" са полезни с това, че дават възможност на хората с увреждания да работят на непълно работно време, без да губят изцяло полагащите им се обезщетения;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 xml:space="preserve">- </w:t>
      </w:r>
      <w:r w:rsidRPr="009F47FF">
        <w:rPr>
          <w:rFonts w:ascii="Arial" w:hAnsi="Arial" w:cs="Arial"/>
          <w:b/>
          <w:bCs/>
          <w:color w:val="000000"/>
          <w:sz w:val="22"/>
          <w:szCs w:val="22"/>
        </w:rPr>
        <w:t>Постигнато е значително сближаване в областта на политиката по отношение на хората с увреждания и заетостта в цяла Европа,</w:t>
      </w:r>
      <w:r w:rsidRPr="009F47FF">
        <w:rPr>
          <w:rFonts w:ascii="Arial" w:hAnsi="Arial" w:cs="Arial"/>
          <w:color w:val="000000"/>
          <w:sz w:val="22"/>
          <w:szCs w:val="22"/>
        </w:rPr>
        <w:t xml:space="preserve"> като в повечето страни е в ход приемането на сходни мерки в подкрепа на трудовата заетост.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При все това програмите в подкрепа на заетостта, както и тези за професионална преквалификация се различават по отношение на реалния им принос за излизането на хората с увреждания на пазара на труда или за запазването на техните работни места, ако те получат трайни увреждания, докато работят.</w:t>
      </w: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0BA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0BA" w:rsidRPr="0080217B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0217B">
        <w:rPr>
          <w:rFonts w:ascii="Arial" w:hAnsi="Arial" w:cs="Arial"/>
          <w:color w:val="000000"/>
          <w:sz w:val="22"/>
          <w:szCs w:val="22"/>
        </w:rPr>
        <w:t xml:space="preserve">Източник: </w:t>
      </w:r>
      <w:hyperlink r:id="rId4" w:tgtFrame="_blank" w:history="1">
        <w:r w:rsidRPr="0080217B">
          <w:rPr>
            <w:rFonts w:ascii="Arial" w:hAnsi="Arial" w:cs="Arial"/>
            <w:color w:val="000000"/>
            <w:sz w:val="22"/>
            <w:szCs w:val="22"/>
          </w:rPr>
          <w:t>Национална мрежа за децата</w:t>
        </w:r>
      </w:hyperlink>
      <w:r w:rsidRPr="0080217B">
        <w:rPr>
          <w:rFonts w:ascii="Arial" w:hAnsi="Arial" w:cs="Arial"/>
          <w:color w:val="000000"/>
          <w:sz w:val="22"/>
          <w:szCs w:val="22"/>
        </w:rPr>
        <w:t>, 11.07.2012</w:t>
      </w:r>
    </w:p>
    <w:p w:rsidR="007A60BA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0BA" w:rsidRPr="009F47FF" w:rsidRDefault="007A60BA" w:rsidP="007A60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0217B">
        <w:rPr>
          <w:rFonts w:ascii="Arial" w:hAnsi="Arial" w:cs="Arial"/>
          <w:color w:val="000000"/>
          <w:sz w:val="22"/>
          <w:szCs w:val="22"/>
        </w:rPr>
        <w:t>http://nmd.bg/news/detsata-sas-spetsialni-potrebnosti-oshte-sreshtat-razlitchno-otnoshenie-v-utchilishte/</w:t>
      </w:r>
    </w:p>
    <w:p w:rsidR="00DC084A" w:rsidRDefault="00DC084A"/>
    <w:sectPr w:rsidR="00DC084A" w:rsidSect="008D1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60BA"/>
    <w:rsid w:val="0031528C"/>
    <w:rsid w:val="00734BA0"/>
    <w:rsid w:val="007A60BA"/>
    <w:rsid w:val="008148FC"/>
    <w:rsid w:val="00DC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BA"/>
    <w:pPr>
      <w:ind w:firstLine="0"/>
    </w:pPr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28C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28C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28C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28C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28C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28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28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28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528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28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528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528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28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28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28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28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28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1528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528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1528C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1528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28C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1528C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1528C"/>
    <w:rPr>
      <w:b/>
      <w:bCs/>
      <w:spacing w:val="0"/>
    </w:rPr>
  </w:style>
  <w:style w:type="character" w:styleId="Emphasis">
    <w:name w:val="Emphasis"/>
    <w:uiPriority w:val="20"/>
    <w:qFormat/>
    <w:rsid w:val="0031528C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1528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1528C"/>
  </w:style>
  <w:style w:type="paragraph" w:styleId="ListParagraph">
    <w:name w:val="List Paragraph"/>
    <w:basedOn w:val="Normal"/>
    <w:uiPriority w:val="34"/>
    <w:qFormat/>
    <w:rsid w:val="0031528C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1528C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1528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28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28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1528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1528C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1528C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1528C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1528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528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md.bg/news/detsata-sas-spetsialni-potrebnosti-oshte-sreshtat-razlitchno-otnoshenie-v-utchilish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2012-08-10T10:50:00Z</dcterms:created>
  <dcterms:modified xsi:type="dcterms:W3CDTF">2012-08-10T10:51:00Z</dcterms:modified>
</cp:coreProperties>
</file>