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9A" w:rsidRDefault="0088609A" w:rsidP="0088609A">
      <w:pPr>
        <w:ind w:right="-648"/>
        <w:rPr>
          <w:b/>
          <w:caps/>
          <w:color w:val="16068C"/>
          <w:sz w:val="36"/>
          <w:szCs w:val="36"/>
        </w:rPr>
      </w:pPr>
      <w:r>
        <w:rPr>
          <w:b/>
          <w:noProof/>
          <w:sz w:val="20"/>
          <w:szCs w:val="20"/>
          <w:lang w:eastAsia="bg-BG"/>
        </w:rPr>
        <w:drawing>
          <wp:anchor distT="0" distB="0" distL="114300" distR="114300" simplePos="0" relativeHeight="251660288" behindDoc="1" locked="0" layoutInCell="1" allowOverlap="1">
            <wp:simplePos x="0" y="0"/>
            <wp:positionH relativeFrom="column">
              <wp:posOffset>4902835</wp:posOffset>
            </wp:positionH>
            <wp:positionV relativeFrom="paragraph">
              <wp:posOffset>56515</wp:posOffset>
            </wp:positionV>
            <wp:extent cx="1028065" cy="871855"/>
            <wp:effectExtent l="19050" t="0" r="635" b="0"/>
            <wp:wrapTight wrapText="bothSides">
              <wp:wrapPolygon edited="0">
                <wp:start x="-400" y="0"/>
                <wp:lineTo x="-400" y="21238"/>
                <wp:lineTo x="21613" y="21238"/>
                <wp:lineTo x="21613" y="0"/>
                <wp:lineTo x="-40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28065" cy="87185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1312"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88609A" w:rsidRPr="0072091B" w:rsidRDefault="0088609A" w:rsidP="0088609A">
      <w:pPr>
        <w:ind w:right="-648"/>
      </w:pPr>
    </w:p>
    <w:p w:rsidR="002631BF" w:rsidRDefault="0088609A" w:rsidP="0088609A">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88609A" w:rsidRPr="002F5AC1" w:rsidRDefault="0088609A" w:rsidP="002631BF">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88609A" w:rsidRDefault="0088609A" w:rsidP="002631BF">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88609A" w:rsidRDefault="0088609A" w:rsidP="002631BF">
      <w:pPr>
        <w:pStyle w:val="Header"/>
        <w:tabs>
          <w:tab w:val="center" w:pos="4421"/>
          <w:tab w:val="left" w:pos="7938"/>
          <w:tab w:val="right" w:pos="8789"/>
        </w:tabs>
        <w:jc w:val="center"/>
        <w:rPr>
          <w:b/>
          <w:sz w:val="20"/>
          <w:szCs w:val="20"/>
          <w:lang w:val="bg-BG"/>
        </w:rPr>
      </w:pPr>
    </w:p>
    <w:p w:rsidR="0088609A" w:rsidRPr="0002659E" w:rsidRDefault="0088609A" w:rsidP="002631BF">
      <w:pPr>
        <w:pStyle w:val="Header"/>
        <w:tabs>
          <w:tab w:val="center" w:pos="4421"/>
          <w:tab w:val="left" w:pos="7938"/>
          <w:tab w:val="right" w:pos="8789"/>
        </w:tabs>
        <w:jc w:val="center"/>
        <w:rPr>
          <w:b/>
          <w:color w:val="000080"/>
          <w:lang w:val="ru-RU"/>
        </w:rPr>
      </w:pPr>
    </w:p>
    <w:p w:rsidR="0088609A" w:rsidRDefault="0088609A" w:rsidP="002631BF">
      <w:pPr>
        <w:pStyle w:val="Header"/>
        <w:tabs>
          <w:tab w:val="left" w:pos="1728"/>
          <w:tab w:val="center" w:pos="4421"/>
          <w:tab w:val="center" w:pos="7285"/>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88609A" w:rsidRDefault="0088609A" w:rsidP="0088609A">
      <w:pPr>
        <w:pStyle w:val="Header"/>
        <w:tabs>
          <w:tab w:val="left" w:pos="1728"/>
          <w:tab w:val="center" w:pos="4421"/>
          <w:tab w:val="center" w:pos="7285"/>
          <w:tab w:val="left" w:pos="7938"/>
          <w:tab w:val="right" w:pos="8789"/>
        </w:tabs>
        <w:rPr>
          <w:b/>
          <w:sz w:val="20"/>
          <w:szCs w:val="20"/>
          <w:lang w:val="bg-BG"/>
        </w:rPr>
      </w:pPr>
    </w:p>
    <w:p w:rsidR="0088609A" w:rsidRPr="002F5AC1" w:rsidRDefault="0088609A" w:rsidP="0088609A">
      <w:pPr>
        <w:pStyle w:val="Header"/>
        <w:tabs>
          <w:tab w:val="left" w:pos="1728"/>
          <w:tab w:val="center" w:pos="4421"/>
          <w:tab w:val="center" w:pos="7285"/>
          <w:tab w:val="left" w:pos="7938"/>
          <w:tab w:val="right" w:pos="8789"/>
        </w:tabs>
        <w:rPr>
          <w:b/>
          <w:sz w:val="20"/>
          <w:szCs w:val="20"/>
          <w:lang w:val="bg-BG"/>
        </w:rPr>
      </w:pPr>
    </w:p>
    <w:p w:rsidR="00506CBB" w:rsidRPr="00506CBB" w:rsidRDefault="00506CBB" w:rsidP="00506CBB">
      <w:pPr>
        <w:jc w:val="both"/>
        <w:rPr>
          <w:rFonts w:ascii="Times New Roman" w:hAnsi="Times New Roman" w:cs="Times New Roman"/>
          <w:b/>
          <w:sz w:val="24"/>
          <w:szCs w:val="24"/>
        </w:rPr>
      </w:pPr>
      <w:r w:rsidRPr="00506CBB">
        <w:rPr>
          <w:rFonts w:ascii="Times New Roman" w:hAnsi="Times New Roman" w:cs="Times New Roman"/>
          <w:b/>
          <w:sz w:val="24"/>
          <w:szCs w:val="24"/>
        </w:rPr>
        <w:t xml:space="preserve">Съвети и добри практики осведомяване на бъдещи кандидати </w:t>
      </w:r>
      <w:bookmarkStart w:id="0" w:name="_GoBack"/>
      <w:bookmarkEnd w:id="0"/>
      <w:r w:rsidRPr="00506CBB">
        <w:rPr>
          <w:rFonts w:ascii="Times New Roman" w:hAnsi="Times New Roman" w:cs="Times New Roman"/>
          <w:b/>
          <w:sz w:val="24"/>
          <w:szCs w:val="24"/>
        </w:rPr>
        <w:t>за наличие на места, подходящи за хора с увреждане</w:t>
      </w:r>
    </w:p>
    <w:p w:rsidR="00506CBB" w:rsidRDefault="00506CBB" w:rsidP="00506CBB">
      <w:pPr>
        <w:jc w:val="both"/>
        <w:rPr>
          <w:rFonts w:ascii="Times New Roman" w:hAnsi="Times New Roman" w:cs="Times New Roman"/>
          <w:i/>
          <w:sz w:val="24"/>
          <w:szCs w:val="24"/>
        </w:rPr>
      </w:pPr>
      <w:r>
        <w:rPr>
          <w:rFonts w:ascii="Times New Roman" w:hAnsi="Times New Roman" w:cs="Times New Roman"/>
          <w:i/>
          <w:sz w:val="24"/>
          <w:szCs w:val="24"/>
        </w:rPr>
        <w:t>Значение на информирането на общественото и перспективните кандидати за наличие на места, подходящи за хора с увреждания</w:t>
      </w:r>
    </w:p>
    <w:p w:rsidR="00506CBB" w:rsidRDefault="00506CBB" w:rsidP="00506CBB">
      <w:pPr>
        <w:jc w:val="both"/>
        <w:rPr>
          <w:rFonts w:ascii="Times New Roman" w:hAnsi="Times New Roman" w:cs="Times New Roman"/>
          <w:sz w:val="24"/>
          <w:szCs w:val="24"/>
        </w:rPr>
      </w:pPr>
      <w:r>
        <w:rPr>
          <w:rFonts w:ascii="Times New Roman" w:hAnsi="Times New Roman" w:cs="Times New Roman"/>
          <w:sz w:val="24"/>
          <w:szCs w:val="24"/>
        </w:rPr>
        <w:t xml:space="preserve">От гледна точка на потенциалните кандидати, които имат увреждания, публичната информация относно наличието на места за работа за хора с увреждания в процеса на набиране на персонал изпраща мощен сигнал, че кандидатурата им е добре дошла. </w:t>
      </w:r>
    </w:p>
    <w:p w:rsidR="00506CBB" w:rsidRDefault="00506CBB" w:rsidP="00506CBB">
      <w:pPr>
        <w:jc w:val="both"/>
        <w:rPr>
          <w:rFonts w:ascii="Times New Roman" w:hAnsi="Times New Roman" w:cs="Times New Roman"/>
          <w:i/>
          <w:sz w:val="24"/>
          <w:szCs w:val="24"/>
        </w:rPr>
      </w:pPr>
      <w:r>
        <w:rPr>
          <w:rFonts w:ascii="Times New Roman" w:hAnsi="Times New Roman" w:cs="Times New Roman"/>
          <w:i/>
          <w:sz w:val="24"/>
          <w:szCs w:val="24"/>
        </w:rPr>
        <w:t>Разрушаване на митовете за наемането на хора с увреждания</w:t>
      </w:r>
    </w:p>
    <w:p w:rsidR="00506CBB" w:rsidRDefault="00506CBB" w:rsidP="00506CBB">
      <w:pPr>
        <w:jc w:val="both"/>
        <w:rPr>
          <w:rFonts w:ascii="Times New Roman" w:hAnsi="Times New Roman" w:cs="Times New Roman"/>
          <w:sz w:val="24"/>
          <w:szCs w:val="24"/>
        </w:rPr>
      </w:pPr>
      <w:r>
        <w:rPr>
          <w:rFonts w:ascii="Times New Roman" w:hAnsi="Times New Roman" w:cs="Times New Roman"/>
          <w:sz w:val="24"/>
          <w:szCs w:val="24"/>
        </w:rPr>
        <w:t>Мит: Нарушаването на законите за правата на човека при интервю с кандидат с увреждане е лесно да се направи.</w:t>
      </w:r>
    </w:p>
    <w:p w:rsidR="00506CBB" w:rsidRDefault="00506CBB" w:rsidP="00506CBB">
      <w:pPr>
        <w:jc w:val="both"/>
        <w:rPr>
          <w:rFonts w:ascii="Times New Roman" w:hAnsi="Times New Roman" w:cs="Times New Roman"/>
          <w:sz w:val="24"/>
          <w:szCs w:val="24"/>
        </w:rPr>
      </w:pPr>
      <w:r>
        <w:rPr>
          <w:rFonts w:ascii="Times New Roman" w:hAnsi="Times New Roman" w:cs="Times New Roman"/>
          <w:sz w:val="24"/>
          <w:szCs w:val="24"/>
        </w:rPr>
        <w:t>Факт: Както при всеки кандидат, въпросите за интервюто трябва да бъдат зададени насочени към работа и умения.</w:t>
      </w:r>
    </w:p>
    <w:p w:rsidR="00506CBB" w:rsidRDefault="00506CBB" w:rsidP="00506CBB">
      <w:pPr>
        <w:jc w:val="both"/>
        <w:rPr>
          <w:rFonts w:ascii="Times New Roman" w:hAnsi="Times New Roman" w:cs="Times New Roman"/>
          <w:sz w:val="24"/>
          <w:szCs w:val="24"/>
        </w:rPr>
      </w:pPr>
      <w:r>
        <w:rPr>
          <w:rFonts w:ascii="Times New Roman" w:hAnsi="Times New Roman" w:cs="Times New Roman"/>
          <w:sz w:val="24"/>
          <w:szCs w:val="24"/>
        </w:rPr>
        <w:t>Мит: Служителите с увреждания могат да заемат само позиции на начално ниво.</w:t>
      </w:r>
    </w:p>
    <w:p w:rsidR="00506CBB" w:rsidRDefault="00506CBB" w:rsidP="00506CBB">
      <w:pPr>
        <w:jc w:val="both"/>
        <w:rPr>
          <w:rFonts w:ascii="Times New Roman" w:hAnsi="Times New Roman" w:cs="Times New Roman"/>
          <w:sz w:val="24"/>
          <w:szCs w:val="24"/>
          <w:lang w:val="en-US"/>
        </w:rPr>
      </w:pPr>
      <w:r>
        <w:rPr>
          <w:rFonts w:ascii="Times New Roman" w:hAnsi="Times New Roman" w:cs="Times New Roman"/>
          <w:sz w:val="24"/>
          <w:szCs w:val="24"/>
        </w:rPr>
        <w:t>Факт: Хората с увреждания са добре образовани. Според статистиката за 2012 г. Канада докладва, че 31 на сто от канадците без увреждане имат сертификат за търговия или диплома за колеж; в сравнение с 29,6 на сто от канадците с лека инвалидност и 33,3 на сто от канадците с тежко увреждане. Университетските степени се държат от 27 на сто от канадците без увреждане; в сравнение със 17,6 на сто от канадците с лека инвалидност и 8,8 на сто процент от канадците с тежко увреждане.</w:t>
      </w:r>
    </w:p>
    <w:p w:rsidR="00506CBB" w:rsidRDefault="00506CBB" w:rsidP="00506CBB">
      <w:pPr>
        <w:jc w:val="both"/>
        <w:rPr>
          <w:rFonts w:ascii="Times New Roman" w:hAnsi="Times New Roman" w:cs="Times New Roman"/>
          <w:i/>
          <w:sz w:val="24"/>
          <w:szCs w:val="24"/>
        </w:rPr>
      </w:pPr>
      <w:r>
        <w:rPr>
          <w:rFonts w:ascii="Times New Roman" w:hAnsi="Times New Roman" w:cs="Times New Roman"/>
          <w:i/>
          <w:sz w:val="24"/>
          <w:szCs w:val="24"/>
        </w:rPr>
        <w:t>Прегледайте длъжностните характеристики, за да се уверите, че заявените изисквания са необходими</w:t>
      </w:r>
    </w:p>
    <w:p w:rsidR="00506CBB" w:rsidRDefault="00506CBB" w:rsidP="00506CBB">
      <w:pPr>
        <w:jc w:val="both"/>
        <w:rPr>
          <w:rFonts w:ascii="Times New Roman" w:hAnsi="Times New Roman" w:cs="Times New Roman"/>
          <w:sz w:val="24"/>
          <w:szCs w:val="24"/>
        </w:rPr>
      </w:pPr>
      <w:r>
        <w:rPr>
          <w:rFonts w:ascii="Times New Roman" w:hAnsi="Times New Roman" w:cs="Times New Roman"/>
          <w:sz w:val="24"/>
          <w:szCs w:val="24"/>
        </w:rPr>
        <w:t xml:space="preserve">Освен задължителното оповестяване за наличието на места за хора с увреждания, добра практика е да се прегледат длъжностните характеристики, за да се гарантира, че заявените изисквания всъщност са необходими за завършването на работата. Има определени професии, при които наличието на конкретно увреждане може да засегне нечия способност да свърши работата. Например електротехническите компании наемат техници, чиято работа изисква функционална мобилност за достъп до всички </w:t>
      </w:r>
      <w:r>
        <w:rPr>
          <w:rFonts w:ascii="Times New Roman" w:hAnsi="Times New Roman" w:cs="Times New Roman"/>
          <w:sz w:val="24"/>
          <w:szCs w:val="24"/>
        </w:rPr>
        <w:lastRenderedPageBreak/>
        <w:t>стълбове, проводници или станции, които може да изискват ремонт. Те са известни като„добросъвестни“ изисквания за работа. Изискванията за добросъвестна работа са задължения, които са от съществено значение за завършване на работа. Работодателите трябва да знаят, че изискванията не са добросъвестни, ако:</w:t>
      </w:r>
    </w:p>
    <w:p w:rsidR="00506CBB" w:rsidRDefault="00506CBB" w:rsidP="00506CB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се отнасят до инцидентни задължения вместо основни части от работата, или</w:t>
      </w:r>
    </w:p>
    <w:p w:rsidR="00486747" w:rsidRPr="0088609A" w:rsidRDefault="00506CBB" w:rsidP="0088609A">
      <w:pPr>
        <w:pStyle w:val="ListParagraph"/>
        <w:numPr>
          <w:ilvl w:val="0"/>
          <w:numId w:val="1"/>
        </w:numPr>
        <w:jc w:val="both"/>
      </w:pPr>
      <w:r w:rsidRPr="0088609A">
        <w:rPr>
          <w:rFonts w:ascii="Times New Roman" w:hAnsi="Times New Roman" w:cs="Times New Roman"/>
          <w:sz w:val="24"/>
          <w:szCs w:val="24"/>
        </w:rPr>
        <w:t>се основават на предпочитанията на колегата или клиента.</w:t>
      </w:r>
    </w:p>
    <w:p w:rsidR="0088609A" w:rsidRDefault="0088609A" w:rsidP="0088609A">
      <w:pPr>
        <w:jc w:val="both"/>
      </w:pPr>
    </w:p>
    <w:p w:rsidR="0088609A" w:rsidRPr="00B115CF" w:rsidRDefault="0088609A" w:rsidP="0088609A">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88609A" w:rsidRDefault="0088609A" w:rsidP="0088609A">
      <w:pPr>
        <w:jc w:val="both"/>
      </w:pPr>
    </w:p>
    <w:sectPr w:rsidR="0088609A" w:rsidSect="000B49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70402"/>
    <w:multiLevelType w:val="hybridMultilevel"/>
    <w:tmpl w:val="F014B80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06CBB"/>
    <w:rsid w:val="000747FB"/>
    <w:rsid w:val="000B499B"/>
    <w:rsid w:val="002631BF"/>
    <w:rsid w:val="00486747"/>
    <w:rsid w:val="00506CBB"/>
    <w:rsid w:val="0088609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CBB"/>
    <w:pPr>
      <w:ind w:left="720"/>
      <w:contextualSpacing/>
    </w:pPr>
  </w:style>
  <w:style w:type="paragraph" w:styleId="Header">
    <w:name w:val="header"/>
    <w:basedOn w:val="Normal"/>
    <w:link w:val="HeaderChar"/>
    <w:rsid w:val="0088609A"/>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88609A"/>
    <w:rPr>
      <w:rFonts w:ascii="Times New Roman" w:eastAsia="Times New Roman" w:hAnsi="Times New Roman" w:cs="Times New Roman"/>
      <w:sz w:val="24"/>
      <w:szCs w:val="24"/>
      <w:lang w:val="en-GB"/>
    </w:rPr>
  </w:style>
  <w:style w:type="paragraph" w:styleId="Footer">
    <w:name w:val="footer"/>
    <w:aliases w:val=" Char Знак"/>
    <w:basedOn w:val="Normal"/>
    <w:link w:val="FooterChar"/>
    <w:uiPriority w:val="99"/>
    <w:rsid w:val="0088609A"/>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88609A"/>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CBB"/>
    <w:pPr>
      <w:ind w:left="720"/>
      <w:contextualSpacing/>
    </w:pPr>
  </w:style>
</w:styles>
</file>

<file path=word/webSettings.xml><?xml version="1.0" encoding="utf-8"?>
<w:webSettings xmlns:r="http://schemas.openxmlformats.org/officeDocument/2006/relationships" xmlns:w="http://schemas.openxmlformats.org/wordprocessingml/2006/main">
  <w:divs>
    <w:div w:id="8513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3</cp:revision>
  <dcterms:created xsi:type="dcterms:W3CDTF">2019-12-03T10:43:00Z</dcterms:created>
  <dcterms:modified xsi:type="dcterms:W3CDTF">2020-07-06T14:01:00Z</dcterms:modified>
</cp:coreProperties>
</file>